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86MS0023-01-2024-00040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-9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123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02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округа-Югры Янбаева Г.Х.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Style w:val="cat-ExternalSystemDefinedgrp-4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9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</w:t>
      </w:r>
      <w:r>
        <w:rPr>
          <w:rStyle w:val="cat-UserDefinedgrp-48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и фактически проживающего по адресу: ХМАО-Югра </w:t>
      </w:r>
      <w:r>
        <w:rPr>
          <w:rStyle w:val="cat-Addressgrp-3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3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16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в 00 час. 01 мин. совершил административное правонарушение, выразившееся в том, что он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без уважительной причины не явился в ОП № 3 МО МВД России «Нижневартовский»,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будучи обязанным по решению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суда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22 сентября 2020 года, решению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Нижневартовского районного суда Ханты-Мансийского автономного округа – Югры от 20 апреля 2022 года являться для регистрации четыре раза в месяц в дни, установленные органом внутренних дел, а именно в 1, 10, 15 и 25 числа каждого месяца, тем самым повторно в течение года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 судебном заседании вину в совершённом правонарушении полностью 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совершенном правонарушении раскаялся, по его ходатайству к материалам дела приобщены копия справки врачебной комиссии БУ ХМАО – Югры «Покачевская городская больница» № 2286 от 18 мая 2023 года, копия справки врачебной комиссии БУ ХМАО – Югры «Покачевская городская больница» № 5048 от 1 декабря 2023 года, копия справки инвалида 3 группы от 25 декабря 2023 года № 1213606.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влечет обязательные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могут применяться обязательные работы либо административный арест, в размере от двух тысяч до двух тысяч пятисот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286306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из которого следует, что он не явился в ОП № 3 МО 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решения Сургутского городского суда от 22 сентября 2020 года на основании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 рамках установленного административного надзора, обязан являться для регистрации в ОП № 3 МО МВД России «Нижневартовский» 3 раза в месяц</w:t>
      </w:r>
      <w:r>
        <w:rPr>
          <w:rFonts w:ascii="Times New Roman" w:eastAsia="Times New Roman" w:hAnsi="Times New Roman" w:cs="Times New Roman"/>
          <w:sz w:val="25"/>
          <w:szCs w:val="25"/>
        </w:rPr>
        <w:t>, решение вступило в законную силу 7 октября 2020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решения Нижневартовского районного суда Ханты-Мансийского автономного округа – Югры от 20 апреля 2022 года на основании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 рамках установленного административного надзора, установлена обязанность являться для регистрации в ОП № 3 МО МВД России «Нижневартовский» 4 раза в месяц</w:t>
      </w:r>
      <w:r>
        <w:rPr>
          <w:rFonts w:ascii="Times New Roman" w:eastAsia="Times New Roman" w:hAnsi="Times New Roman" w:cs="Times New Roman"/>
          <w:sz w:val="25"/>
          <w:szCs w:val="25"/>
        </w:rPr>
        <w:t>, решение вступило в законную силу 7 мая 2022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азъяснение, предупреждение;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график прибытия поднадзорного лица на регистрацию;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постановления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к административной ответственности по ч. 1 ст. 19.24 КоАП РФ от </w:t>
      </w:r>
      <w:r>
        <w:rPr>
          <w:rFonts w:ascii="Times New Roman" w:eastAsia="Times New Roman" w:hAnsi="Times New Roman" w:cs="Times New Roman"/>
          <w:sz w:val="25"/>
          <w:szCs w:val="25"/>
        </w:rPr>
        <w:t>14 ноября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постановление обжаловано не было и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25 ноября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Нижневартовского районного суда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31 июля 2023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 наличии у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не исполненных административных наказаний;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задержании лица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доставлении лица от </w:t>
      </w:r>
      <w:r>
        <w:rPr>
          <w:rFonts w:ascii="Times New Roman" w:eastAsia="Times New Roman" w:hAnsi="Times New Roman" w:cs="Times New Roman"/>
          <w:sz w:val="25"/>
          <w:szCs w:val="25"/>
        </w:rPr>
        <w:t>29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рапорт-характеристика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Капару</w:t>
      </w:r>
      <w:r>
        <w:rPr>
          <w:rFonts w:ascii="Times New Roman" w:eastAsia="Times New Roman" w:hAnsi="Times New Roman" w:cs="Times New Roman"/>
          <w:sz w:val="25"/>
          <w:szCs w:val="25"/>
        </w:rPr>
        <w:t>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5"/>
          <w:szCs w:val="25"/>
        </w:rPr>
        <w:t>№ 64-ФЗ «Об административном надзоре за лицами, освобожденными из мест лишения свободы» от 06.04.2011 г.,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надзор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5"/>
          <w:szCs w:val="25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>не прибыл на регистрационную от</w:t>
      </w:r>
      <w:r>
        <w:rPr>
          <w:rFonts w:ascii="Times New Roman" w:eastAsia="Times New Roman" w:hAnsi="Times New Roman" w:cs="Times New Roman"/>
          <w:sz w:val="25"/>
          <w:szCs w:val="25"/>
        </w:rPr>
        <w:t>метку в отдел полиции, при этом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 постановление по которому вступило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законную силу,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5"/>
          <w:szCs w:val="25"/>
        </w:rPr>
        <w:t>подтверждение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ходе судебного разбирательства.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что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действии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содержится состав административного правонарушения, предусмотренного ч. 3 ст. 19.24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19.24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Вина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нашла своё подтверждение в судебном заседании, его действия правильно квалифицирова</w:t>
      </w:r>
      <w:r>
        <w:rPr>
          <w:rFonts w:ascii="Times New Roman" w:eastAsia="Times New Roman" w:hAnsi="Times New Roman" w:cs="Times New Roman"/>
          <w:sz w:val="25"/>
          <w:szCs w:val="25"/>
        </w:rPr>
        <w:t>ны по ч. 3 ст. 19.24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29.2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 призна</w:t>
      </w:r>
      <w:r>
        <w:rPr>
          <w:rFonts w:ascii="Times New Roman" w:eastAsia="Times New Roman" w:hAnsi="Times New Roman" w:cs="Times New Roman"/>
          <w:sz w:val="25"/>
          <w:szCs w:val="25"/>
        </w:rPr>
        <w:t>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раскаяние лица, совершившего административное правонарушение, </w:t>
      </w:r>
      <w:r>
        <w:rPr>
          <w:rFonts w:ascii="Times New Roman" w:eastAsia="Times New Roman" w:hAnsi="Times New Roman" w:cs="Times New Roman"/>
          <w:sz w:val="25"/>
          <w:szCs w:val="25"/>
        </w:rPr>
        <w:t>не может, поскольку не смотря 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признание им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>продолжает совершать однородные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отягчающим административную ответственность в соответствии со ст. 4.3 КоАП РФ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согласно справки врачебной комиссии БУ ХМАО – Югры «Покачевская городская больница» № 5048 от 1 декабря 2023 года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с 5 октября 2023 года находится на амбулаторном лечении у врача-фтизиатра с диагнозом:/А15.0/, является инвалидом 3 группы.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8" w:anchor="/document/12134310/entry/2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Перечень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заболеваний, препятствующих отбыванию наказания утвержден Постановлением Правительства РФ от 6 февраля 2004 г. № 54 «О медицинском освидетельствовании осужденных, представляемых к освобождению от отбывания наказания в связи с болезнью» (далее Перечень).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Диагноз, установленный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входит в указанный Перечень.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Несмотря, на то, что 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административного наказания в виде обязательных работ или административного ареста, не установлено, мировой судья считает необходимым учесть состояние здоровья лица, привлекаемого к административной ответственности при назначении наказания, поскольку </w:t>
      </w:r>
      <w:r>
        <w:rPr>
          <w:rFonts w:ascii="Times New Roman" w:eastAsia="Times New Roman" w:hAnsi="Times New Roman" w:cs="Times New Roman"/>
          <w:sz w:val="25"/>
          <w:szCs w:val="25"/>
        </w:rPr>
        <w:t>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 в том числе.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 мнению мирового судьи назначение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Капаруллину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административного наказания в виде обязательных работ или административного ареста может повлечь ухудшение состояния здоровья лица, привлеченного к административной ответственности и не обеспечит достижение целей наказания, установленных в </w:t>
      </w:r>
      <w:hyperlink r:id="rId9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правонарушения, личность виновного, его имущественное положение, его состояние здоровья, отсутствие обстоятельств, смягчающих административную ответственность, предусмотренных ст. 4.2 КоАП РФ, наличие 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отягчающ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4.3 КоАП РФ,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Капарулин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наказание в виде административного штрафа в максимальном размере, предусмотренном санкцией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19.24 </w:t>
      </w:r>
      <w:r>
        <w:rPr>
          <w:rFonts w:ascii="Times New Roman" w:eastAsia="Times New Roman" w:hAnsi="Times New Roman" w:cs="Times New Roman"/>
          <w:sz w:val="25"/>
          <w:szCs w:val="25"/>
        </w:rPr>
        <w:t>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29.9 - 29.11 КоАП РФ,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Капарулина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Александра Владимировича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наказание в виде административного штрафа в размере 2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 (две тысячи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пятьсот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рублей.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0412365400235001232419126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</w:t>
      </w:r>
      <w:r>
        <w:rPr>
          <w:rFonts w:ascii="Times New Roman" w:eastAsia="Times New Roman" w:hAnsi="Times New Roman" w:cs="Times New Roman"/>
          <w:sz w:val="25"/>
          <w:szCs w:val="25"/>
        </w:rPr>
        <w:t>193019000140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0412365400235001232419126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72011601193019000140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5-12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-2301/2024 от 02.02.2024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5-12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7rplc-9">
    <w:name w:val="cat-ExternalSystemDefined grp-47 rplc-9"/>
    <w:basedOn w:val="DefaultParagraphFont"/>
  </w:style>
  <w:style w:type="character" w:customStyle="1" w:styleId="cat-PassportDatagrp-39rplc-10">
    <w:name w:val="cat-PassportData grp-39 rplc-10"/>
    <w:basedOn w:val="DefaultParagraphFont"/>
  </w:style>
  <w:style w:type="character" w:customStyle="1" w:styleId="cat-UserDefinedgrp-48rplc-11">
    <w:name w:val="cat-UserDefined grp-48 rplc-11"/>
    <w:basedOn w:val="DefaultParagraphFont"/>
  </w:style>
  <w:style w:type="character" w:customStyle="1" w:styleId="cat-Addressgrp-3rplc-12">
    <w:name w:val="cat-Address grp-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demo.garant.ru/" TargetMode="External" /><Relationship Id="rId9" Type="http://schemas.openxmlformats.org/officeDocument/2006/relationships/hyperlink" Target="http://msud.garant.ru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